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36185B" w:rsidRPr="0036185B" w:rsidRDefault="00FF14DD" w:rsidP="0036185B">
      <w:pPr>
        <w:spacing w:after="0" w:line="240" w:lineRule="auto"/>
        <w:rPr>
          <w:rFonts w:ascii="Times New Roman" w:hAnsi="Times New Roman"/>
          <w:sz w:val="24"/>
          <w:szCs w:val="24"/>
        </w:rPr>
      </w:pPr>
      <w:r>
        <w:rPr>
          <w:rFonts w:ascii="Times New Roman" w:hAnsi="Times New Roman"/>
          <w:sz w:val="24"/>
          <w:szCs w:val="24"/>
        </w:rPr>
        <w:t xml:space="preserve">Raj </w:t>
      </w:r>
      <w:proofErr w:type="spellStart"/>
      <w:r>
        <w:rPr>
          <w:rFonts w:ascii="Times New Roman" w:hAnsi="Times New Roman"/>
          <w:sz w:val="24"/>
          <w:szCs w:val="24"/>
        </w:rPr>
        <w:t>Bhala</w:t>
      </w:r>
      <w:proofErr w:type="spellEnd"/>
      <w:r>
        <w:rPr>
          <w:rFonts w:ascii="Times New Roman" w:hAnsi="Times New Roman"/>
          <w:sz w:val="24"/>
          <w:szCs w:val="24"/>
        </w:rPr>
        <w:t xml:space="preserve"> &amp; David A. </w:t>
      </w:r>
      <w:proofErr w:type="spellStart"/>
      <w:r>
        <w:rPr>
          <w:rFonts w:ascii="Times New Roman" w:hAnsi="Times New Roman"/>
          <w:sz w:val="24"/>
          <w:szCs w:val="24"/>
        </w:rPr>
        <w:t>Gantz</w:t>
      </w:r>
      <w:proofErr w:type="spellEnd"/>
      <w:r>
        <w:rPr>
          <w:rFonts w:ascii="Times New Roman" w:hAnsi="Times New Roman"/>
          <w:sz w:val="24"/>
          <w:szCs w:val="24"/>
        </w:rPr>
        <w:t>,</w:t>
      </w:r>
      <w:bookmarkStart w:id="0" w:name="_GoBack"/>
      <w:bookmarkEnd w:id="0"/>
      <w:r w:rsidR="0036185B" w:rsidRPr="0036185B">
        <w:rPr>
          <w:rFonts w:ascii="Times New Roman" w:hAnsi="Times New Roman"/>
          <w:sz w:val="24"/>
          <w:szCs w:val="24"/>
        </w:rPr>
        <w:t xml:space="preserve"> </w:t>
      </w:r>
      <w:r w:rsidR="0036185B" w:rsidRPr="0036185B">
        <w:rPr>
          <w:rFonts w:ascii="Times New Roman" w:hAnsi="Times New Roman"/>
          <w:i/>
          <w:iCs/>
          <w:sz w:val="24"/>
          <w:szCs w:val="24"/>
        </w:rPr>
        <w:t>WTO Case Review 2005</w:t>
      </w:r>
      <w:r w:rsidR="0036185B" w:rsidRPr="0036185B">
        <w:rPr>
          <w:rFonts w:ascii="Times New Roman" w:hAnsi="Times New Roman"/>
          <w:sz w:val="24"/>
          <w:szCs w:val="24"/>
        </w:rPr>
        <w:t xml:space="preserve">, 23 </w:t>
      </w:r>
      <w:r w:rsidR="0036185B" w:rsidRPr="0036185B">
        <w:rPr>
          <w:rFonts w:ascii="Times New Roman" w:hAnsi="Times New Roman"/>
          <w:smallCaps/>
          <w:sz w:val="24"/>
          <w:szCs w:val="24"/>
        </w:rPr>
        <w:t>ARIZ. J. INT’L &amp; COMP. L.</w:t>
      </w:r>
      <w:r w:rsidR="00A90B7A">
        <w:rPr>
          <w:rFonts w:ascii="Times New Roman" w:hAnsi="Times New Roman"/>
          <w:sz w:val="24"/>
          <w:szCs w:val="24"/>
        </w:rPr>
        <w:t xml:space="preserve"> 107 (2006); </w:t>
      </w:r>
      <w:r w:rsidR="00A90B7A" w:rsidRPr="00A90B7A">
        <w:rPr>
          <w:rFonts w:ascii="Times New Roman" w:hAnsi="Times New Roman"/>
          <w:sz w:val="24"/>
          <w:szCs w:val="24"/>
        </w:rPr>
        <w:t>Arizona Legal Studies Discussion Paper No. 06-34.</w:t>
      </w:r>
    </w:p>
    <w:p w:rsidR="00F005AF" w:rsidRDefault="00F005AF"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FF14DD" w:rsidP="00C405A2">
      <w:pPr>
        <w:tabs>
          <w:tab w:val="left" w:pos="1868"/>
        </w:tabs>
        <w:spacing w:after="0" w:line="240" w:lineRule="auto"/>
        <w:rPr>
          <w:rFonts w:eastAsia="MS Mincho" w:cs="Calibri"/>
        </w:rPr>
      </w:pPr>
      <w:hyperlink r:id="rId8" w:history="1">
        <w:r w:rsidR="00F005AF" w:rsidRPr="00B5326E">
          <w:rPr>
            <w:rStyle w:val="Hyperlink"/>
            <w:rFonts w:eastAsia="MS Mincho" w:cs="Calibri"/>
          </w:rPr>
          <w:t>http://ssrn.com/abstract=931556</w:t>
        </w:r>
      </w:hyperlink>
    </w:p>
    <w:p w:rsidR="00F005AF" w:rsidRPr="008E3CF3" w:rsidRDefault="00F005AF" w:rsidP="00C405A2">
      <w:pPr>
        <w:tabs>
          <w:tab w:val="left" w:pos="1868"/>
        </w:tabs>
        <w:spacing w:after="0" w:line="240" w:lineRule="auto"/>
        <w:rPr>
          <w:rFonts w:eastAsia="MS Mincho"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B718F0" w:rsidRDefault="00F005AF" w:rsidP="00B718F0">
      <w:pPr>
        <w:autoSpaceDE w:val="0"/>
        <w:autoSpaceDN w:val="0"/>
        <w:adjustRightInd w:val="0"/>
        <w:spacing w:after="0" w:line="240" w:lineRule="auto"/>
        <w:rPr>
          <w:rFonts w:eastAsia="Calibri" w:cs="Calibri"/>
        </w:rPr>
      </w:pPr>
      <w:r w:rsidRPr="00F005AF">
        <w:rPr>
          <w:rFonts w:eastAsia="Calibri" w:cs="Calibri"/>
        </w:rPr>
        <w:t>WTO, international trade, dispute settlement body, Appellate Body</w:t>
      </w:r>
    </w:p>
    <w:p w:rsidR="00F005AF" w:rsidRPr="0031168B" w:rsidRDefault="00F005AF"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F005AF">
      <w:pPr>
        <w:autoSpaceDE w:val="0"/>
        <w:autoSpaceDN w:val="0"/>
        <w:adjustRightInd w:val="0"/>
        <w:spacing w:after="0" w:line="240" w:lineRule="auto"/>
        <w:rPr>
          <w:rFonts w:eastAsia="Calibri" w:cs="Calibri"/>
        </w:rPr>
      </w:pPr>
      <w:r w:rsidRPr="00F005AF">
        <w:rPr>
          <w:rFonts w:eastAsia="Calibri" w:cs="Calibri"/>
        </w:rPr>
        <w:t>This WTO Case Review is the sixth in an annual series on the substantive international trade adjudications issued by the Appellate Body of the World Trade Organization. Each Review explains and comments on the Appellate Body reports adopted by the WTO Dispute Settlement Body during the preceding calendar year (1 January through 31 December), excluding decisions on compliance with recommendations contained in previously adopted reports.</w:t>
      </w:r>
    </w:p>
    <w:sectPr w:rsidR="00B718F0" w:rsidRPr="0031168B" w:rsidSect="00713A73">
      <w:headerReference w:type="default" r:id="rId9"/>
      <w:footerReference w:type="default" r:id="rId10"/>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F14DD">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8E6"/>
    <w:multiLevelType w:val="hybridMultilevel"/>
    <w:tmpl w:val="A04AAB4C"/>
    <w:lvl w:ilvl="0" w:tplc="0409000F">
      <w:start w:val="1"/>
      <w:numFmt w:val="decimal"/>
      <w:lvlText w:val="%1."/>
      <w:lvlJc w:val="left"/>
      <w:pPr>
        <w:tabs>
          <w:tab w:val="num" w:pos="1440"/>
        </w:tabs>
        <w:ind w:left="1440" w:hanging="360"/>
      </w:pPr>
    </w:lvl>
    <w:lvl w:ilvl="1" w:tplc="A086A960">
      <w:start w:val="1"/>
      <w:numFmt w:val="decimal"/>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863A7"/>
    <w:rsid w:val="0019564E"/>
    <w:rsid w:val="001F31F9"/>
    <w:rsid w:val="00203937"/>
    <w:rsid w:val="0030642D"/>
    <w:rsid w:val="0031168B"/>
    <w:rsid w:val="003179C6"/>
    <w:rsid w:val="00333732"/>
    <w:rsid w:val="003458B0"/>
    <w:rsid w:val="0036185B"/>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A2106D"/>
    <w:rsid w:val="00A90B7A"/>
    <w:rsid w:val="00B25885"/>
    <w:rsid w:val="00B718F0"/>
    <w:rsid w:val="00B73459"/>
    <w:rsid w:val="00C07E9D"/>
    <w:rsid w:val="00C402BC"/>
    <w:rsid w:val="00C405A2"/>
    <w:rsid w:val="00C4158D"/>
    <w:rsid w:val="00C77B1E"/>
    <w:rsid w:val="00D159A8"/>
    <w:rsid w:val="00D20590"/>
    <w:rsid w:val="00D30153"/>
    <w:rsid w:val="00D32EC1"/>
    <w:rsid w:val="00D37B58"/>
    <w:rsid w:val="00E86E6E"/>
    <w:rsid w:val="00EF530F"/>
    <w:rsid w:val="00F005AF"/>
    <w:rsid w:val="00F16817"/>
    <w:rsid w:val="00F95240"/>
    <w:rsid w:val="00FA34E4"/>
    <w:rsid w:val="00F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9315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3</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776</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5</cp:revision>
  <dcterms:created xsi:type="dcterms:W3CDTF">2013-05-13T15:22:00Z</dcterms:created>
  <dcterms:modified xsi:type="dcterms:W3CDTF">2013-05-21T18:33:00Z</dcterms:modified>
</cp:coreProperties>
</file>